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6061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 xml:space="preserve">Conselleria de </w:t>
      </w:r>
      <w:proofErr w:type="spellStart"/>
      <w:r w:rsidRPr="00500FF5">
        <w:rPr>
          <w:rFonts w:cstheme="minorHAnsi"/>
          <w:b/>
          <w:bCs/>
        </w:rPr>
        <w:t>Just</w:t>
      </w:r>
      <w:r w:rsidR="00B20AA5">
        <w:rPr>
          <w:rFonts w:cstheme="minorHAnsi"/>
          <w:b/>
          <w:bCs/>
        </w:rPr>
        <w:t>í</w:t>
      </w:r>
      <w:r w:rsidRPr="00500FF5">
        <w:rPr>
          <w:rFonts w:cstheme="minorHAnsi"/>
          <w:b/>
          <w:bCs/>
        </w:rPr>
        <w:t>cia</w:t>
      </w:r>
      <w:proofErr w:type="spellEnd"/>
      <w:r w:rsidRPr="00500FF5">
        <w:rPr>
          <w:rFonts w:cstheme="minorHAnsi"/>
          <w:b/>
          <w:bCs/>
        </w:rPr>
        <w:t>,</w:t>
      </w:r>
      <w:r w:rsidR="00B20AA5">
        <w:rPr>
          <w:rFonts w:cstheme="minorHAnsi"/>
          <w:b/>
          <w:bCs/>
        </w:rPr>
        <w:t xml:space="preserve"> </w:t>
      </w:r>
      <w:r w:rsidRPr="00500FF5">
        <w:rPr>
          <w:rFonts w:cstheme="minorHAnsi"/>
          <w:b/>
          <w:bCs/>
        </w:rPr>
        <w:t>Interior y Administración Pública</w:t>
      </w:r>
    </w:p>
    <w:p w14:paraId="249934FE" w14:textId="77777777" w:rsidR="000C663A" w:rsidRPr="00500FF5" w:rsidRDefault="005B692A" w:rsidP="00500FF5">
      <w:pPr>
        <w:jc w:val="both"/>
        <w:rPr>
          <w:rFonts w:cstheme="minorHAnsi"/>
          <w:i/>
          <w:iCs/>
        </w:rPr>
      </w:pPr>
      <w:r w:rsidRPr="00500FF5">
        <w:rPr>
          <w:rFonts w:cstheme="minorHAnsi"/>
          <w:i/>
          <w:iCs/>
        </w:rPr>
        <w:t>ORDEN 35/2019, de 5 de diciembre, de la Conselleria de Justicia, Interior y Administración Pública, por la que se convocan pruebas selectivas de acceso al cuerpo superior de gestión en acción social de la Administración de la Generalitat, escala trabajo social, A2-16-03, sector administración especial, convocatoria 33/18, turno libre general y personas con diversidad funcional, por el sistema de concurso-oposición y proceso de estabilización de empleo, correspondiente a la oferta de empleo público de 2017, para el personal de la Administración de la Generalitat. [2019/11812]</w:t>
      </w:r>
    </w:p>
    <w:p w14:paraId="2492C041" w14:textId="77777777" w:rsidR="005B692A" w:rsidRPr="00500FF5" w:rsidRDefault="005B692A" w:rsidP="00500FF5">
      <w:pPr>
        <w:jc w:val="both"/>
        <w:rPr>
          <w:rFonts w:cstheme="minorHAnsi"/>
        </w:rPr>
      </w:pPr>
    </w:p>
    <w:p w14:paraId="2CE63822" w14:textId="77777777" w:rsidR="005B692A" w:rsidRPr="00500FF5" w:rsidRDefault="005B692A" w:rsidP="00500FF5">
      <w:pPr>
        <w:jc w:val="both"/>
        <w:rPr>
          <w:rFonts w:cstheme="minorHAnsi"/>
        </w:rPr>
      </w:pPr>
    </w:p>
    <w:p w14:paraId="170444E0" w14:textId="77777777" w:rsidR="005B692A" w:rsidRPr="00500FF5" w:rsidRDefault="005B692A" w:rsidP="0050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cstheme="minorHAnsi"/>
          <w:b/>
          <w:bCs/>
          <w:sz w:val="24"/>
          <w:szCs w:val="24"/>
        </w:rPr>
      </w:pPr>
      <w:r w:rsidRPr="00500FF5">
        <w:rPr>
          <w:rFonts w:cstheme="minorHAnsi"/>
          <w:b/>
          <w:bCs/>
          <w:sz w:val="24"/>
          <w:szCs w:val="24"/>
        </w:rPr>
        <w:t xml:space="preserve">TEMARIO PARTE GENERAL </w:t>
      </w:r>
      <w:r w:rsidRPr="00500FF5">
        <w:rPr>
          <w:rFonts w:cstheme="minorHAnsi"/>
          <w:i/>
          <w:iCs/>
          <w:sz w:val="24"/>
          <w:szCs w:val="24"/>
        </w:rPr>
        <w:t>(Materias comunes)</w:t>
      </w:r>
    </w:p>
    <w:p w14:paraId="19D2F4A8" w14:textId="77777777" w:rsidR="008E02CE" w:rsidRPr="00500FF5" w:rsidRDefault="008E02CE" w:rsidP="00500FF5">
      <w:pPr>
        <w:jc w:val="both"/>
        <w:rPr>
          <w:rFonts w:cstheme="minorHAnsi"/>
          <w:b/>
          <w:bCs/>
        </w:rPr>
      </w:pPr>
    </w:p>
    <w:p w14:paraId="4D009C1C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>A. DERECHO CONSTITUCIONAL.</w:t>
      </w:r>
    </w:p>
    <w:p w14:paraId="2B71B82A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1.</w:t>
      </w:r>
      <w:r w:rsidRPr="00500FF5">
        <w:rPr>
          <w:rFonts w:cstheme="minorHAnsi"/>
        </w:rPr>
        <w:t xml:space="preserve"> La Constitución Española de 1978: Título preliminar; Título primero, De los derechos y deberes fundamentales.</w:t>
      </w:r>
    </w:p>
    <w:p w14:paraId="44B2DC81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2.</w:t>
      </w:r>
      <w:r w:rsidRPr="00500FF5">
        <w:rPr>
          <w:rFonts w:cstheme="minorHAnsi"/>
        </w:rPr>
        <w:t xml:space="preserve"> La Constitución Española de 1978: Título IV, Del Gobierno y la Administración; Título V, De las relaciones entre el Gobierno y las Cortes Generales.</w:t>
      </w:r>
    </w:p>
    <w:p w14:paraId="1CC21203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3.</w:t>
      </w:r>
      <w:r w:rsidRPr="00500FF5">
        <w:rPr>
          <w:rFonts w:cstheme="minorHAnsi"/>
        </w:rPr>
        <w:t xml:space="preserve"> La Constitución Española de 1978: Título VIII, De la organización territorial del Estado.</w:t>
      </w:r>
    </w:p>
    <w:p w14:paraId="5C39CC10" w14:textId="77777777" w:rsidR="005B692A" w:rsidRPr="00500FF5" w:rsidRDefault="005B692A" w:rsidP="00500FF5">
      <w:pPr>
        <w:jc w:val="both"/>
        <w:rPr>
          <w:rFonts w:cstheme="minorHAnsi"/>
        </w:rPr>
      </w:pPr>
    </w:p>
    <w:p w14:paraId="30566CE3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>B. DERECHO AUTONÓMICO.</w:t>
      </w:r>
    </w:p>
    <w:p w14:paraId="7E9C0997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4.</w:t>
      </w:r>
      <w:r w:rsidRPr="00500FF5">
        <w:rPr>
          <w:rFonts w:cstheme="minorHAnsi"/>
        </w:rPr>
        <w:t xml:space="preserve"> El Estatuto de Autonomía 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Valenciana: Título Primero,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Valenciana; Título II, De los Derechos de los valencianos y valencianas; Título III, La Generalitat; Título IV, Competencias.</w:t>
      </w:r>
    </w:p>
    <w:p w14:paraId="14AC8C93" w14:textId="218E7D26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5.</w:t>
      </w:r>
      <w:r w:rsidRPr="00500FF5">
        <w:rPr>
          <w:rFonts w:cstheme="minorHAnsi"/>
        </w:rPr>
        <w:t xml:space="preserve"> La Ley 5/1983, de 30 de diciembre, del Consell: Título I, El </w:t>
      </w:r>
      <w:proofErr w:type="spellStart"/>
      <w:r w:rsidRPr="00500FF5">
        <w:rPr>
          <w:rFonts w:cstheme="minorHAnsi"/>
        </w:rPr>
        <w:t>President</w:t>
      </w:r>
      <w:proofErr w:type="spellEnd"/>
      <w:r w:rsidRPr="00500FF5">
        <w:rPr>
          <w:rFonts w:cstheme="minorHAnsi"/>
        </w:rPr>
        <w:t xml:space="preserve"> de la Generalitat; Título II, Del Consell: Capítulo I: composición; Capítulo II: las atribuciones; Capítulo III: del funcionamiento; Capítulo VI: la iniciativa legislativa, los Decretos Legislativos y la potestad reglamentaria del Consell; Título III, Relaciones entre el Consell y </w:t>
      </w:r>
      <w:proofErr w:type="spellStart"/>
      <w:r w:rsidRPr="00500FF5">
        <w:rPr>
          <w:rFonts w:cstheme="minorHAnsi"/>
        </w:rPr>
        <w:t>LesCorts</w:t>
      </w:r>
      <w:proofErr w:type="spellEnd"/>
      <w:r w:rsidRPr="00500FF5">
        <w:rPr>
          <w:rFonts w:cstheme="minorHAnsi"/>
        </w:rPr>
        <w:t>.</w:t>
      </w:r>
    </w:p>
    <w:p w14:paraId="3A99B1C7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6.</w:t>
      </w:r>
      <w:r w:rsidRPr="00500FF5">
        <w:rPr>
          <w:rFonts w:cstheme="minorHAnsi"/>
        </w:rPr>
        <w:t xml:space="preserve"> La Ley 5/1983, de 30 de diciembre, del Consell: Título II, Del Consell: Capítulo IV: De la </w:t>
      </w:r>
      <w:proofErr w:type="spellStart"/>
      <w:r w:rsidRPr="00500FF5">
        <w:rPr>
          <w:rFonts w:cstheme="minorHAnsi"/>
        </w:rPr>
        <w:t>conselleria</w:t>
      </w:r>
      <w:proofErr w:type="spellEnd"/>
      <w:r w:rsidRPr="00500FF5">
        <w:rPr>
          <w:rFonts w:cstheme="minorHAnsi"/>
        </w:rPr>
        <w:t xml:space="preserve"> y de los </w:t>
      </w:r>
      <w:proofErr w:type="spellStart"/>
      <w:r w:rsidRPr="00500FF5">
        <w:rPr>
          <w:rFonts w:cstheme="minorHAnsi"/>
        </w:rPr>
        <w:t>Consellers</w:t>
      </w:r>
      <w:proofErr w:type="spellEnd"/>
      <w:r w:rsidRPr="00500FF5">
        <w:rPr>
          <w:rFonts w:cstheme="minorHAnsi"/>
        </w:rPr>
        <w:t xml:space="preserve">, Capítulo V: Estatuto Personal de los </w:t>
      </w:r>
      <w:proofErr w:type="spellStart"/>
      <w:r w:rsidRPr="00500FF5">
        <w:rPr>
          <w:rFonts w:cstheme="minorHAnsi"/>
        </w:rPr>
        <w:t>Consellers</w:t>
      </w:r>
      <w:proofErr w:type="spellEnd"/>
      <w:r w:rsidRPr="00500FF5">
        <w:rPr>
          <w:rFonts w:cstheme="minorHAnsi"/>
        </w:rPr>
        <w:t>; Título IV, De la Administración Pública de la Generalitat; Título V, De la responsabilidad de los miembros del Consell y de la Administración Pública de la Generalitat.</w:t>
      </w:r>
    </w:p>
    <w:p w14:paraId="3545F8FC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7.</w:t>
      </w:r>
      <w:r w:rsidRPr="00500FF5">
        <w:rPr>
          <w:rFonts w:cstheme="minorHAnsi"/>
        </w:rPr>
        <w:t xml:space="preserve"> La Ley 1/2015, de 6 de febrero, de la Generalitat, de Hacienda Pública, del Sector Instrumental y de Subvenciones: Título I: Del ámbito de aplicación y organización del sector público de la Generalitat: Capítulo I: Ámbito de aplicación y organización del sector público; Título II, De los presupuestos de la Generalitat: Capítulo III: Contenido, elaboración y estructura; Título IX, Sector público instrumental de la Generalitat; Título X: Subvenciones.</w:t>
      </w:r>
    </w:p>
    <w:p w14:paraId="586D9F48" w14:textId="77777777" w:rsidR="008E02CE" w:rsidRPr="00500FF5" w:rsidRDefault="008E02CE" w:rsidP="00500FF5">
      <w:pPr>
        <w:jc w:val="both"/>
        <w:rPr>
          <w:rFonts w:cstheme="minorHAnsi"/>
          <w:b/>
          <w:bCs/>
        </w:rPr>
      </w:pPr>
    </w:p>
    <w:p w14:paraId="00846ECB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>C. LA UNIÓN EUROPEA.</w:t>
      </w:r>
    </w:p>
    <w:p w14:paraId="739B08D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lastRenderedPageBreak/>
        <w:t>8.</w:t>
      </w:r>
      <w:r w:rsidRPr="00500FF5">
        <w:rPr>
          <w:rFonts w:cstheme="minorHAnsi"/>
        </w:rPr>
        <w:t xml:space="preserve"> Características del Ordenamiento Jurídico de la Unión Europea.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Fuentes del derecho de la Unión Europea. Tratados constitutivos. Actos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jurídicos de la Unión. Los reglamentos. Las directivas.</w:t>
      </w:r>
    </w:p>
    <w:p w14:paraId="1DAFB2B9" w14:textId="77777777" w:rsidR="00DE2F80" w:rsidRPr="00500FF5" w:rsidRDefault="00DE2F80" w:rsidP="00500FF5">
      <w:pPr>
        <w:jc w:val="both"/>
        <w:rPr>
          <w:rFonts w:cstheme="minorHAnsi"/>
        </w:rPr>
      </w:pPr>
    </w:p>
    <w:p w14:paraId="78681747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>D. DERECHO ADMINISTRATIVO</w:t>
      </w:r>
    </w:p>
    <w:p w14:paraId="4C520836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9.</w:t>
      </w:r>
      <w:r w:rsidRPr="00500FF5">
        <w:rPr>
          <w:rFonts w:cstheme="minorHAnsi"/>
        </w:rPr>
        <w:t xml:space="preserve"> La Ley 40/2015, de 1 de octubre, de régimen jurídico del sector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público: Título preliminar,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Capítulo I: Disposiciones generales.</w:t>
      </w:r>
    </w:p>
    <w:p w14:paraId="0211DE8E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10.</w:t>
      </w:r>
      <w:r w:rsidRPr="00500FF5">
        <w:rPr>
          <w:rFonts w:cstheme="minorHAnsi"/>
        </w:rPr>
        <w:t xml:space="preserve"> La Ley 39/2015, de 1 de octubre, del procedimiento administrativo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común de las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administraciones públicas: Título preliminar, Disposiciones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generales; Título I, De los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interesados en el procedimiento;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Título II, De la actividad de las administraciones públicas.</w:t>
      </w:r>
    </w:p>
    <w:p w14:paraId="0293A663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11.</w:t>
      </w:r>
      <w:r w:rsidRPr="00500FF5">
        <w:rPr>
          <w:rFonts w:cstheme="minorHAnsi"/>
        </w:rPr>
        <w:t xml:space="preserve"> La Ley 39/2015, de 1 de octubre, del procedimiento administrativo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común de las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administraciones públicas: Título III, De los actos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administrativos; Título VI, De la iniciativa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legislativa y la potestad para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dictar reglamentos y otras disposiciones.</w:t>
      </w:r>
    </w:p>
    <w:p w14:paraId="7562CB4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12</w:t>
      </w:r>
      <w:r w:rsidRPr="00500FF5">
        <w:rPr>
          <w:rFonts w:cstheme="minorHAnsi"/>
        </w:rPr>
        <w:t>. La Ley 39/2015, de 1 de octubre, del procedimiento administrativo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común de las administraciones públicas: Título IV, De las disposiciones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sobre el procedimiento administrativo común.</w:t>
      </w:r>
    </w:p>
    <w:p w14:paraId="6A1E47A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13.</w:t>
      </w:r>
      <w:r w:rsidRPr="00500FF5">
        <w:rPr>
          <w:rFonts w:cstheme="minorHAnsi"/>
        </w:rPr>
        <w:t xml:space="preserve"> La Ley 39/2015, de 1 de octubre, del procedimiento administrativo</w:t>
      </w:r>
      <w:r w:rsidR="00DE2F80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común de las administraciones públicas: Título V, De la revisión de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los actos en vía administrativa.</w:t>
      </w:r>
    </w:p>
    <w:p w14:paraId="26B069A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14.</w:t>
      </w:r>
      <w:r w:rsidRPr="00500FF5">
        <w:rPr>
          <w:rFonts w:cstheme="minorHAnsi"/>
        </w:rPr>
        <w:t xml:space="preserve"> La Ley 40/2015, de 1 de octubre, de régimen jurídico del sector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público: Título preliminar, Capítulo III: Principios de la potestad sancionadora.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La Ley 39/2015, de 1 de octubre, del procedimiento administrativo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común de las administraciones públicas: Procedimiento para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el ejercicio de la potestad sancionadora.</w:t>
      </w:r>
    </w:p>
    <w:p w14:paraId="58D2E3A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15.</w:t>
      </w:r>
      <w:r w:rsidRPr="00500FF5">
        <w:rPr>
          <w:rFonts w:cstheme="minorHAnsi"/>
        </w:rPr>
        <w:t>La Ley 9/2017, de 8 de noviembre, de Contratos del Sector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Público: Título preliminar, Capítulo I: Disposiciones generales: objeto y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ámbito de aplicación; Capítulo II: Contratos del sector público, Sección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1ª Delimitación de tipos contractuales; Libro primero, Configuración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general de la contratación del sector público y elementos estructurales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los contratos: Título III, Objeto, presupuesto base de licitación, valor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estimado, precio del contrato y su revisión; Libro segundo, De los contratos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las Administraciones Públicas: Título I: Capítulo I: Sección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1ª, De la preparación de los contratos de las Administraciones Públicas.</w:t>
      </w:r>
    </w:p>
    <w:p w14:paraId="2D74FE73" w14:textId="77777777" w:rsidR="008E02CE" w:rsidRPr="00500FF5" w:rsidRDefault="008E02CE" w:rsidP="00500FF5">
      <w:pPr>
        <w:jc w:val="both"/>
        <w:rPr>
          <w:rFonts w:cstheme="minorHAnsi"/>
        </w:rPr>
      </w:pPr>
    </w:p>
    <w:p w14:paraId="7C5247C2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t>E. FUNCIÓN PÚBLICA.</w:t>
      </w:r>
    </w:p>
    <w:p w14:paraId="7B97D057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16.</w:t>
      </w:r>
      <w:r w:rsidRPr="00500FF5">
        <w:rPr>
          <w:rFonts w:cstheme="minorHAnsi"/>
        </w:rPr>
        <w:t xml:space="preserve"> El Texto Refundido de la Ley del Estatuto Básico del Empleado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Público: Título Primero, Objeto y ámbito de aplicación.</w:t>
      </w:r>
    </w:p>
    <w:p w14:paraId="0A2084F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17.</w:t>
      </w:r>
      <w:r w:rsidRPr="00500FF5">
        <w:rPr>
          <w:rFonts w:cstheme="minorHAnsi"/>
        </w:rPr>
        <w:t xml:space="preserve"> La Ley 10/2010, de 9 de julio, de la Generalitat, de ordenación y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gestión de la función pública valenciana: Título Primero: Objeto, principios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y ámbito de aplicación de la Ley; Título III, Personal al servicio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las administraciones públicas; Título V, Nacimiento y extinción de la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relación de servicio; Título VI, Derechos, deberes e incompatibilidades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del personal empleado público.</w:t>
      </w:r>
    </w:p>
    <w:p w14:paraId="1C9A4FE7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18.</w:t>
      </w:r>
      <w:r w:rsidRPr="00500FF5">
        <w:rPr>
          <w:rFonts w:cstheme="minorHAnsi"/>
        </w:rPr>
        <w:t xml:space="preserve"> El Decreto 42/2019, de 22 de marzo, del Consell, de regulación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las condiciones de trabajo del personal funcionario de la Administración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 Generalitat.</w:t>
      </w:r>
    </w:p>
    <w:p w14:paraId="66F805AA" w14:textId="77777777" w:rsidR="008E02CE" w:rsidRPr="00500FF5" w:rsidRDefault="008E02CE" w:rsidP="00500FF5">
      <w:pPr>
        <w:jc w:val="both"/>
        <w:rPr>
          <w:rFonts w:cstheme="minorHAnsi"/>
        </w:rPr>
      </w:pPr>
    </w:p>
    <w:p w14:paraId="53FE462A" w14:textId="77777777" w:rsidR="005B692A" w:rsidRPr="00500FF5" w:rsidRDefault="005B692A" w:rsidP="00500FF5">
      <w:pPr>
        <w:jc w:val="both"/>
        <w:rPr>
          <w:rFonts w:cstheme="minorHAnsi"/>
          <w:b/>
          <w:bCs/>
        </w:rPr>
      </w:pPr>
      <w:r w:rsidRPr="00500FF5">
        <w:rPr>
          <w:rFonts w:cstheme="minorHAnsi"/>
          <w:b/>
          <w:bCs/>
        </w:rPr>
        <w:lastRenderedPageBreak/>
        <w:t>F. TEMAS TRANSVERSALES</w:t>
      </w:r>
    </w:p>
    <w:p w14:paraId="5CD69950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19.</w:t>
      </w:r>
      <w:r w:rsidRPr="00500FF5">
        <w:rPr>
          <w:rFonts w:cstheme="minorHAnsi"/>
        </w:rPr>
        <w:t xml:space="preserve"> </w:t>
      </w:r>
      <w:bookmarkStart w:id="0" w:name="_GoBack"/>
      <w:r w:rsidRPr="00500FF5">
        <w:rPr>
          <w:rFonts w:cstheme="minorHAnsi"/>
        </w:rPr>
        <w:t>La Ley orgánica 3/2007, de 22 de marzo, para la igualdad efectiva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mujeres y hombres: Título preliminar, Objeto de la Ley; Título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I, El principio de igualdad y la tutela contra la discriminación; La Ley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9/2003, de 2 de abril, de la Generalitat, para la igualdad de mujeres y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hombres. La Ley orgánica 1/2004, de 28 de diciembre, de medidas de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protección integral contra la violencia de género: Título preliminar.</w:t>
      </w:r>
    </w:p>
    <w:bookmarkEnd w:id="0"/>
    <w:p w14:paraId="2FC48D05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20.</w:t>
      </w:r>
      <w:r w:rsidRPr="00500FF5">
        <w:rPr>
          <w:rFonts w:cstheme="minorHAnsi"/>
        </w:rPr>
        <w:t xml:space="preserve"> Ley 19/2013, de 9 de diciembre, de Transparencia, acceso 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la información pública y buen gobierno: Título preliminar; Título </w:t>
      </w:r>
      <w:proofErr w:type="spellStart"/>
      <w:proofErr w:type="gramStart"/>
      <w:r w:rsidRPr="00500FF5">
        <w:rPr>
          <w:rFonts w:cstheme="minorHAnsi"/>
        </w:rPr>
        <w:t>I,Transparencia</w:t>
      </w:r>
      <w:proofErr w:type="spellEnd"/>
      <w:proofErr w:type="gramEnd"/>
      <w:r w:rsidRPr="00500FF5">
        <w:rPr>
          <w:rFonts w:cstheme="minorHAnsi"/>
        </w:rPr>
        <w:t xml:space="preserve"> de la actividad pública. Ley 2/2015, de 2 de abril, de la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Generalitat, de transparencia, buen gobierno y participación ciudadana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Valenciana.</w:t>
      </w:r>
    </w:p>
    <w:p w14:paraId="2262D56E" w14:textId="77777777" w:rsidR="008E02CE" w:rsidRPr="00500FF5" w:rsidRDefault="008E02CE" w:rsidP="00500FF5">
      <w:pPr>
        <w:jc w:val="both"/>
        <w:rPr>
          <w:rFonts w:cstheme="minorHAnsi"/>
        </w:rPr>
      </w:pPr>
    </w:p>
    <w:p w14:paraId="44A2A3EB" w14:textId="77777777" w:rsidR="005B692A" w:rsidRPr="00500FF5" w:rsidRDefault="005B692A" w:rsidP="0050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00FF5">
        <w:rPr>
          <w:rFonts w:cstheme="minorHAnsi"/>
          <w:b/>
          <w:bCs/>
          <w:sz w:val="24"/>
          <w:szCs w:val="24"/>
        </w:rPr>
        <w:t>PARTE ESPECIAL</w:t>
      </w:r>
      <w:r w:rsidR="008E02CE" w:rsidRPr="00500FF5">
        <w:rPr>
          <w:rFonts w:cstheme="minorHAnsi"/>
          <w:b/>
          <w:bCs/>
          <w:sz w:val="24"/>
          <w:szCs w:val="24"/>
        </w:rPr>
        <w:t xml:space="preserve"> </w:t>
      </w:r>
      <w:r w:rsidRPr="00500FF5">
        <w:rPr>
          <w:rFonts w:cstheme="minorHAnsi"/>
          <w:b/>
          <w:bCs/>
          <w:i/>
          <w:iCs/>
          <w:sz w:val="24"/>
          <w:szCs w:val="24"/>
        </w:rPr>
        <w:t>(Temario específico)</w:t>
      </w:r>
    </w:p>
    <w:p w14:paraId="2E7748BC" w14:textId="77777777" w:rsidR="008E02CE" w:rsidRPr="00500FF5" w:rsidRDefault="008E02CE" w:rsidP="00500FF5">
      <w:pPr>
        <w:jc w:val="both"/>
        <w:rPr>
          <w:rFonts w:cstheme="minorHAnsi"/>
          <w:b/>
          <w:bCs/>
          <w:sz w:val="24"/>
          <w:szCs w:val="24"/>
        </w:rPr>
      </w:pPr>
    </w:p>
    <w:p w14:paraId="312E3063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1.</w:t>
      </w:r>
      <w:r w:rsidRPr="00500FF5">
        <w:rPr>
          <w:rFonts w:cstheme="minorHAnsi"/>
        </w:rPr>
        <w:t xml:space="preserve"> </w:t>
      </w:r>
      <w:bookmarkStart w:id="1" w:name="_Hlk30498613"/>
      <w:r w:rsidRPr="00500FF5">
        <w:rPr>
          <w:rFonts w:cstheme="minorHAnsi"/>
        </w:rPr>
        <w:t>Proceso de configuración del Sistema Público Valenciano de Servicios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Sociales.</w:t>
      </w:r>
      <w:bookmarkEnd w:id="1"/>
    </w:p>
    <w:p w14:paraId="54030282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2.</w:t>
      </w:r>
      <w:r w:rsidRPr="00500FF5">
        <w:rPr>
          <w:rFonts w:cstheme="minorHAnsi"/>
        </w:rPr>
        <w:t xml:space="preserve"> La Ley 3/2019, de 18 de febrero, de los servicios sociales inclusivos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Valenciana: Estructura funcional y territorial del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Sistema Público Valenciano de Servicios Sociales.</w:t>
      </w:r>
    </w:p>
    <w:p w14:paraId="12840614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3.</w:t>
      </w:r>
      <w:r w:rsidRPr="00500FF5">
        <w:rPr>
          <w:rFonts w:cstheme="minorHAnsi"/>
        </w:rPr>
        <w:t xml:space="preserve"> La Ley 3/2019, de 18 de febrero, de los servicios sociales inclusivos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Valenciana: Principios rectores y catálogo de prestaciones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del Sistema Público Valenciano de Servicios Sociales.</w:t>
      </w:r>
    </w:p>
    <w:p w14:paraId="6DE9E05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4.</w:t>
      </w:r>
      <w:r w:rsidRPr="00500FF5">
        <w:rPr>
          <w:rFonts w:cstheme="minorHAnsi"/>
        </w:rPr>
        <w:t xml:space="preserve"> La Ley 3/2019, de 18 de febrero, de los servicios sociales inclusivos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Valenciana: Intervención de las personas profesionales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servicios sociales e instrumentos técnicos.</w:t>
      </w:r>
    </w:p>
    <w:p w14:paraId="40514B58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5.</w:t>
      </w:r>
      <w:r w:rsidRPr="00500FF5">
        <w:rPr>
          <w:rFonts w:cstheme="minorHAnsi"/>
        </w:rPr>
        <w:t xml:space="preserve"> La Ley 3/2019, de 18 de febrero, de los servicios sociales inclusivos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de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Valenciana: Derechos y deberes de las personas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profesionales de los servicios sociales.</w:t>
      </w:r>
    </w:p>
    <w:p w14:paraId="09C436AE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6.</w:t>
      </w:r>
      <w:r w:rsidRPr="00500FF5">
        <w:rPr>
          <w:rFonts w:cstheme="minorHAnsi"/>
        </w:rPr>
        <w:t xml:space="preserve"> La Ley 19/2017, de 20 de diciembre, de la Generalitat, de renta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valenciana de inclusión: Régimen competencial y organizativo.</w:t>
      </w:r>
    </w:p>
    <w:p w14:paraId="47725E2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7.</w:t>
      </w:r>
      <w:r w:rsidRPr="00500FF5">
        <w:rPr>
          <w:rFonts w:cstheme="minorHAnsi"/>
        </w:rPr>
        <w:t xml:space="preserve"> La Ley 19/2017, de 20 de diciembre, de la Generalitat, de renta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valenciana de inclusión: Modalidades de la renta valenciana de Inclusión.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Personas titulares, requisitos y obligaciones</w:t>
      </w:r>
    </w:p>
    <w:p w14:paraId="099370D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8.</w:t>
      </w:r>
      <w:r w:rsidRPr="00500FF5">
        <w:rPr>
          <w:rFonts w:cstheme="minorHAnsi"/>
        </w:rPr>
        <w:t xml:space="preserve"> El Decreto 59/2019, de 12 de abril, de ordenación del Sistema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Público Valenciano de Servicios Sociales.</w:t>
      </w:r>
    </w:p>
    <w:p w14:paraId="785D8E92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9.</w:t>
      </w:r>
      <w:r w:rsidRPr="00500FF5">
        <w:rPr>
          <w:rFonts w:cstheme="minorHAnsi"/>
        </w:rPr>
        <w:t xml:space="preserve"> Principios y derechos reconocidos en la Ley 23/2018, de 29 de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noviembre, de la Generalitat, de igualdad de las personas LGTBI</w:t>
      </w:r>
    </w:p>
    <w:p w14:paraId="38337166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10.</w:t>
      </w:r>
      <w:r w:rsidRPr="00500FF5">
        <w:rPr>
          <w:rFonts w:cstheme="minorHAnsi"/>
        </w:rPr>
        <w:t xml:space="preserve"> La Ley 26/2018, de 21 de diciembre, de la Generalitat, de derechos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y garantías de la Infancia y la adolescencia: Principios rectores y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líneas de actuación en las políticas públicas.</w:t>
      </w:r>
    </w:p>
    <w:p w14:paraId="2892215C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11.</w:t>
      </w:r>
      <w:r w:rsidRPr="00500FF5">
        <w:rPr>
          <w:rFonts w:cstheme="minorHAnsi"/>
        </w:rPr>
        <w:t xml:space="preserve"> Competencias de la Generalitat en materia de derechos de la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infancia y adolescencia en la </w:t>
      </w:r>
      <w:proofErr w:type="spellStart"/>
      <w:r w:rsidRPr="00500FF5">
        <w:rPr>
          <w:rFonts w:cstheme="minorHAnsi"/>
        </w:rPr>
        <w:t>Comunitat</w:t>
      </w:r>
      <w:proofErr w:type="spellEnd"/>
      <w:r w:rsidRPr="00500FF5">
        <w:rPr>
          <w:rFonts w:cstheme="minorHAnsi"/>
        </w:rPr>
        <w:t xml:space="preserve"> Valenciana.</w:t>
      </w:r>
    </w:p>
    <w:p w14:paraId="09168EF5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12.</w:t>
      </w:r>
      <w:r w:rsidRPr="00500FF5">
        <w:rPr>
          <w:rFonts w:cstheme="minorHAnsi"/>
        </w:rPr>
        <w:t xml:space="preserve"> Prevención de las situaciones de desprotección. Planificación.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Metodología. Coordinación</w:t>
      </w:r>
    </w:p>
    <w:p w14:paraId="4176F9E3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lastRenderedPageBreak/>
        <w:t>13.</w:t>
      </w:r>
      <w:r w:rsidRPr="00500FF5">
        <w:rPr>
          <w:rFonts w:cstheme="minorHAnsi"/>
        </w:rPr>
        <w:t xml:space="preserve"> Protección en las situaciones de riesgo. La intervención del trabajador/a social.</w:t>
      </w:r>
    </w:p>
    <w:p w14:paraId="0C5D4BB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14.</w:t>
      </w:r>
      <w:r w:rsidRPr="00500FF5">
        <w:rPr>
          <w:rFonts w:cstheme="minorHAnsi"/>
        </w:rPr>
        <w:t xml:space="preserve"> La intervención del Equipo Psicosocial de los juzgados de Familia</w:t>
      </w:r>
      <w:r w:rsidR="008E02CE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 xml:space="preserve">en la valoración de las </w:t>
      </w:r>
      <w:r w:rsidR="00500FF5" w:rsidRPr="00500FF5">
        <w:rPr>
          <w:rFonts w:cstheme="minorHAnsi"/>
        </w:rPr>
        <w:t>medidas de protección adoptadas por la entidad</w:t>
      </w:r>
      <w:r w:rsidRPr="00500FF5">
        <w:rPr>
          <w:rFonts w:cstheme="minorHAnsi"/>
        </w:rPr>
        <w:t xml:space="preserve"> pública. La evaluación psicológica de la idoneidad para el ejercicio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las funciones parentales en la filiación adoptiva.</w:t>
      </w:r>
    </w:p>
    <w:p w14:paraId="722F5611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15.</w:t>
      </w:r>
      <w:r w:rsidRPr="00500FF5">
        <w:rPr>
          <w:rFonts w:cstheme="minorHAnsi"/>
        </w:rPr>
        <w:t xml:space="preserve"> Marco regulador de las Oficinas de Asistencia a Víctimas del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Delito y sus funciones en la estructura del sistema judicial.</w:t>
      </w:r>
    </w:p>
    <w:p w14:paraId="1D05C429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16.</w:t>
      </w:r>
      <w:r w:rsidRPr="00500FF5">
        <w:rPr>
          <w:rFonts w:cstheme="minorHAnsi"/>
        </w:rPr>
        <w:t xml:space="preserve"> Garantías de atención psicosocial a las víctimas del delito.</w:t>
      </w:r>
    </w:p>
    <w:p w14:paraId="014327A6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17.</w:t>
      </w:r>
      <w:r w:rsidRPr="00500FF5">
        <w:rPr>
          <w:rFonts w:cstheme="minorHAnsi"/>
        </w:rPr>
        <w:t xml:space="preserve"> Evaluación individualizada de las víctimas del delito y programas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intervención.</w:t>
      </w:r>
    </w:p>
    <w:p w14:paraId="0854BB1D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18.</w:t>
      </w:r>
      <w:r w:rsidRPr="00500FF5">
        <w:rPr>
          <w:rFonts w:cstheme="minorHAnsi"/>
        </w:rPr>
        <w:t xml:space="preserve"> La atención social en las Oficinas de Asistencia a Víctimas del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Delito.</w:t>
      </w:r>
    </w:p>
    <w:p w14:paraId="359AF6A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19.</w:t>
      </w:r>
      <w:r w:rsidRPr="00500FF5">
        <w:rPr>
          <w:rFonts w:cstheme="minorHAnsi"/>
        </w:rPr>
        <w:t xml:space="preserve"> La Ley orgánica 1/2004, de 28 de diciembre, de medidas de protección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integral contra la violencia de género. La Red de la Generalitat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atención integral a las víctimas de violencia de género.</w:t>
      </w:r>
    </w:p>
    <w:p w14:paraId="14F5C6C4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20.</w:t>
      </w:r>
      <w:r w:rsidRPr="00500FF5">
        <w:rPr>
          <w:rFonts w:cstheme="minorHAnsi"/>
        </w:rPr>
        <w:t xml:space="preserve"> La convención de derechos de las personas con discapacidad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 ONU.</w:t>
      </w:r>
    </w:p>
    <w:p w14:paraId="33D717AF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21.</w:t>
      </w:r>
      <w:r w:rsidRPr="00500FF5">
        <w:rPr>
          <w:rFonts w:cstheme="minorHAnsi"/>
        </w:rPr>
        <w:t xml:space="preserve"> Las personas con discapacidad. Marco normativo básico. La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discapacidad física, psíquica y sensorial. Aspectos psicosociales de la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discapacidad y de la atención a las personas con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discapacidad.</w:t>
      </w:r>
    </w:p>
    <w:p w14:paraId="5DB45D2E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22.</w:t>
      </w:r>
      <w:r w:rsidRPr="00500FF5">
        <w:rPr>
          <w:rFonts w:cstheme="minorHAnsi"/>
        </w:rPr>
        <w:t xml:space="preserve"> La valoración del grado de la discapacidad. Los equipos de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valoración y orientación para personas con discapacidad. Papel del trabajador/a social.</w:t>
      </w:r>
    </w:p>
    <w:p w14:paraId="6B6787EC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23.</w:t>
      </w:r>
      <w:r w:rsidRPr="00500FF5">
        <w:rPr>
          <w:rFonts w:cstheme="minorHAnsi"/>
        </w:rPr>
        <w:t xml:space="preserve"> Principio de integración. Técnicas de intervención. Programas.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Tipología de centros y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recursos.</w:t>
      </w:r>
    </w:p>
    <w:p w14:paraId="7DD65D3F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24.</w:t>
      </w:r>
      <w:r w:rsidRPr="00500FF5">
        <w:rPr>
          <w:rFonts w:cstheme="minorHAnsi"/>
        </w:rPr>
        <w:t xml:space="preserve"> Las personas mayores. Marco normativo básico. Cambios en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los procesos cognitivos, afectivos y motores. Aspectos psicosociales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del envejecimiento y de la atención a las personas mayores. Técnicas y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programas de intervención.</w:t>
      </w:r>
    </w:p>
    <w:p w14:paraId="23C4251C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25.</w:t>
      </w:r>
      <w:r w:rsidRPr="00500FF5">
        <w:rPr>
          <w:rFonts w:cstheme="minorHAnsi"/>
        </w:rPr>
        <w:t xml:space="preserve"> Evaluación gerontológica integral: evaluación física y funcional,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evaluación mental.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Identificación de escalas de valoración estandarizadas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y validadas de uso sociosanitario.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Profesionales implicados en la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realización</w:t>
      </w:r>
    </w:p>
    <w:p w14:paraId="36D07A50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26.</w:t>
      </w:r>
      <w:r w:rsidRPr="00500FF5">
        <w:rPr>
          <w:rFonts w:cstheme="minorHAnsi"/>
        </w:rPr>
        <w:t xml:space="preserve"> El maltrato a las personas mayores. Prevención e intervención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social.</w:t>
      </w:r>
    </w:p>
    <w:p w14:paraId="76F1326A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27.</w:t>
      </w:r>
      <w:r w:rsidRPr="00500FF5">
        <w:rPr>
          <w:rFonts w:cstheme="minorHAnsi"/>
        </w:rPr>
        <w:t xml:space="preserve"> Papel del profesional del trabajo social en el ámbito de la atención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a las personas mayores.</w:t>
      </w:r>
    </w:p>
    <w:p w14:paraId="1E28072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28.</w:t>
      </w:r>
      <w:r w:rsidRPr="00500FF5">
        <w:rPr>
          <w:rFonts w:cstheme="minorHAnsi"/>
        </w:rPr>
        <w:t xml:space="preserve"> Las personas en situación de dependencia. La Ley de promoción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la autonomía personal y la atención a personas en situación de dependencia.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Marco normativo básico.</w:t>
      </w:r>
    </w:p>
    <w:p w14:paraId="00A7BD70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29.</w:t>
      </w:r>
      <w:r w:rsidRPr="00500FF5">
        <w:rPr>
          <w:rFonts w:cstheme="minorHAnsi"/>
        </w:rPr>
        <w:t xml:space="preserve"> Valoración de la situación de dependencia. Prestaciones del sistema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atención a la dependencia. Red de servicios y catálogo. Intensidades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de protección. Prestaciones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económicas. Régimen de compatibilidades.</w:t>
      </w:r>
    </w:p>
    <w:p w14:paraId="3E1B29BC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30.</w:t>
      </w:r>
      <w:r w:rsidRPr="00500FF5">
        <w:rPr>
          <w:rFonts w:cstheme="minorHAnsi"/>
        </w:rPr>
        <w:t xml:space="preserve"> La necesidad social: Concepto. Tipologías. La investigación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social. Indicadores sociales. La entrevista social. El informe social.</w:t>
      </w:r>
    </w:p>
    <w:p w14:paraId="331CE60B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31.</w:t>
      </w:r>
      <w:r w:rsidRPr="00500FF5">
        <w:rPr>
          <w:rFonts w:cstheme="minorHAnsi"/>
        </w:rPr>
        <w:t xml:space="preserve"> La informatización en el trabajo social. Sistemas de información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en trabajo social.</w:t>
      </w:r>
    </w:p>
    <w:p w14:paraId="76B203A4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lastRenderedPageBreak/>
        <w:t>32.</w:t>
      </w:r>
      <w:r w:rsidRPr="00500FF5">
        <w:rPr>
          <w:rFonts w:cstheme="minorHAnsi"/>
        </w:rPr>
        <w:t xml:space="preserve"> La intervención social: concepto y modelos de intervención.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Prevención, asistencia, rehabilitación y reinserción.</w:t>
      </w:r>
    </w:p>
    <w:p w14:paraId="2642AE01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33.</w:t>
      </w:r>
      <w:r w:rsidRPr="00500FF5">
        <w:rPr>
          <w:rFonts w:cstheme="minorHAnsi"/>
        </w:rPr>
        <w:t xml:space="preserve"> El voluntariado. Concepto, regulación. El papel de la iniciativa</w:t>
      </w:r>
      <w:r w:rsidR="00500FF5" w:rsidRPr="00500FF5">
        <w:rPr>
          <w:rFonts w:cstheme="minorHAnsi"/>
        </w:rPr>
        <w:t xml:space="preserve"> </w:t>
      </w:r>
      <w:r w:rsidRPr="00500FF5">
        <w:rPr>
          <w:rFonts w:cstheme="minorHAnsi"/>
        </w:rPr>
        <w:t>social en el ámbito de la Acción Social. Las ONG.</w:t>
      </w:r>
    </w:p>
    <w:p w14:paraId="671A26EA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34.</w:t>
      </w:r>
      <w:r w:rsidRPr="00500FF5">
        <w:rPr>
          <w:rFonts w:cstheme="minorHAnsi"/>
        </w:rPr>
        <w:t xml:space="preserve"> Código deontológico de los Trabajadores Sociales.</w:t>
      </w:r>
    </w:p>
    <w:p w14:paraId="7153D4F1" w14:textId="77777777" w:rsidR="005B692A" w:rsidRPr="00500FF5" w:rsidRDefault="005B692A" w:rsidP="00500FF5">
      <w:pPr>
        <w:jc w:val="both"/>
        <w:rPr>
          <w:rFonts w:cstheme="minorHAnsi"/>
        </w:rPr>
      </w:pPr>
      <w:r w:rsidRPr="00500FF5">
        <w:rPr>
          <w:rFonts w:cstheme="minorHAnsi"/>
          <w:b/>
          <w:bCs/>
        </w:rPr>
        <w:t>35.</w:t>
      </w:r>
      <w:r w:rsidRPr="00500FF5">
        <w:rPr>
          <w:rFonts w:cstheme="minorHAnsi"/>
        </w:rPr>
        <w:t xml:space="preserve"> La evaluación en trabajo social. Metodología y principios generales.</w:t>
      </w:r>
    </w:p>
    <w:sectPr w:rsidR="005B692A" w:rsidRPr="0050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A"/>
    <w:rsid w:val="000C663A"/>
    <w:rsid w:val="00500FF5"/>
    <w:rsid w:val="005B692A"/>
    <w:rsid w:val="008B1E00"/>
    <w:rsid w:val="008E02CE"/>
    <w:rsid w:val="00B20AA5"/>
    <w:rsid w:val="00B433CF"/>
    <w:rsid w:val="00D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153"/>
  <w15:chartTrackingRefBased/>
  <w15:docId w15:val="{B7370714-BA6B-45D2-8D07-E570670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1685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2020-01-21T08:58:00Z</dcterms:created>
  <dcterms:modified xsi:type="dcterms:W3CDTF">2020-01-21T15:21:00Z</dcterms:modified>
</cp:coreProperties>
</file>